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2009 21 vom 1. September 2009</w:t>
      </w:r>
    </w:p>
    <w:p>
      <w:r>
        <w:t>GR Gerichte, 2009-09-01, DE</w:t>
      </w:r>
    </w:p>
    <w:p>
      <w:r>
        <w:rPr>
          <w:b/>
        </w:rPr>
        <w:t xml:space="preserve">Quelle: </w:t>
      </w:r>
      <w:r>
        <w:t>https://mcp.opencaselaw.ch/entscheid/gr_gerichte_ZK1 2009 21</w:t>
      </w:r>
    </w:p>
    <w:p>
      <w:r>
        <w:t>FR: GR_GERICHTE ZK1 2009 21 du 1 septembre 2009</w:t>
      </w:r>
    </w:p>
    <w:p>
      <w:r>
        <w:t>IT: GR_GERICHTE ZK1 2009 21 del 1 settembre 2009</w:t>
      </w:r>
    </w:p>
    <w:p>
      <w:pPr>
        <w:pStyle w:val="Heading2"/>
      </w:pPr>
      <w:r>
        <w:t>Regeste</w:t>
      </w:r>
    </w:p>
    <w:p>
      <w:r>
        <w:t>Ablösung/Löschung einer Dienstbarkeit | Berufung ZGB Sachenrecht</w:t>
      </w:r>
    </w:p>
    <w:p>
      <w:pPr>
        <w:pStyle w:val="Heading2"/>
      </w:pPr>
      <w:r>
        <w:t>Erwägungen</w:t>
      </w:r>
    </w:p>
    <w:p>
      <w:r>
        <w:rPr>
          <w:b/>
        </w:rPr>
        <w:t>E. 2</w:t>
      </w:r>
    </w:p>
    <w:p>
      <w:r>
        <w:t>Das Grundbuchamt Landquart sei anzuweisen, die Fuss- und Fahrweg- rechte zugunsten des Grundstücks Nr. C. und zulasten der Grundstücke Nrn. B. und A. im Grundbuch der Gemeinde G. zu löschen.</w:t>
      </w:r>
    </w:p>
    <w:p>
      <w:r>
        <w:rPr>
          <w:b/>
        </w:rPr>
        <w:t>E. 3</w:t>
      </w:r>
    </w:p>
    <w:p>
      <w:r>
        <w:t>Die Kosten des Kreisamtes Maienfeld in Höhe von Fr. 250.-- sowie die Kosten des Verfahrens vor Bezirksgericht Landquart, bestehend aus: - einer Gerichtsgebühr von Fr. 3'465.00 - einer Schreibgebühr von Fr. 639.00 - den Barauslagen von Fr. 396.00 - einem Streitwertzuschlag von Fr. 2'000.00 total somit Fr. 6'500.00 werden unter solidarischer Haftung den Klägern auferlegt. Die Kläger werden darüber hinaus gerichtlich und unter solidarischer Haftung verpflichtet, an V. und W. eine ausseramtliche Entschädigung in Höhe von Fr. 6'000.-- zu bezahlen (gesetzliche Mehrwertsteuer darin enthalten).</w:t>
      </w:r>
    </w:p>
    <w:p>
      <w:r>
        <w:rPr>
          <w:b/>
        </w:rPr>
        <w:t>E. 4</w:t>
      </w:r>
    </w:p>
    <w:p>
      <w:r>
        <w:t>Die Fuss- und Fahrwegrechte zugunsten des Grundstücks Nr. C. und zulasten der Grundstücke Nrn. B. und A. im Grundbuch der Gemeinde G. seien aufzuheben.</w:t>
      </w:r>
    </w:p>
    <w:p>
      <w:r>
        <w:rPr>
          <w:b/>
        </w:rPr>
        <w:t>E. 5</w:t>
      </w:r>
    </w:p>
    <w:p>
      <w:r>
        <w:t>Das Grundbuchamt Landquart sei anzuweisen, die Fuss- und Fahrweg- rechte zugunsten des Grundstücks Nr. C. und zulasten der Grundstücke Nr. B. und A. im Grundbuch der Gemeinde G. zu löschen.</w:t>
      </w:r>
    </w:p>
    <w:p>
      <w:r>
        <w:rPr>
          <w:b/>
        </w:rPr>
        <w:t>E. 6</w:t>
      </w:r>
    </w:p>
    <w:p>
      <w:r>
        <w:t>Weder X. und Y. und Z. mit ihrer Berufung noch W. und V.mit ihrer An- schlussberufung vermochten einen Erfolg zu erzielen. Angesichts der grösseren Bedeutung der Berufung im Vergleich zur Anschlussberufung, wo lediglich die Höhe der zugesprochenen ausseramtlichen Entschädigung strittig war, rechtfertigt es sich, die Kosten des Berufungsverfahrens, bestehend aus einer Gerichtsgebühr von Fr. 5'000.-- sowie einer Schreibgebühr von Fr. 240.--, total somit Fr. 5'240.--, zu 1/5 den Berufungsbeklagten und zu 4/5 den Berufungsklägern aufzuerlegen, wel- che W. und V. unter solidarischer Haftbarkeit eine angemessene Umtriebsentschä- digung zu bezahlen haben. Sie ist dem mutmasslichen notwendigen Aufwand ent- sprechend, unter Berücksichtigung der abgewiesenen Anschlussberufung, und un- ter Einrechnung der Mehrwertsteuer auf Fr. 1'200.-- festzusetzen.</w:t>
      </w:r>
    </w:p>
    <w:p>
      <w:r>
        <w:t>Seite 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